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FCAD" w14:textId="513E5FE2" w:rsidR="00E504A9" w:rsidRPr="00E504A9" w:rsidRDefault="00E504A9" w:rsidP="00B950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36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504A9">
        <w:rPr>
          <w:rFonts w:ascii="Times New Roman" w:hAnsi="Times New Roman" w:cs="Times New Roman"/>
          <w:b/>
          <w:bCs/>
          <w:sz w:val="28"/>
          <w:szCs w:val="28"/>
        </w:rPr>
        <w:t xml:space="preserve">Арт- терапия басым бағыттағы </w:t>
      </w:r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504A9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504A9">
        <w:rPr>
          <w:rFonts w:ascii="Times New Roman" w:hAnsi="Times New Roman" w:cs="Times New Roman"/>
          <w:b/>
          <w:bCs/>
          <w:sz w:val="28"/>
          <w:szCs w:val="28"/>
        </w:rPr>
        <w:t>Самұрық</w:t>
      </w:r>
      <w:proofErr w:type="spellEnd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балабақшасы</w:t>
      </w:r>
      <w:proofErr w:type="spellEnd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» МКҚК </w:t>
      </w:r>
    </w:p>
    <w:p w14:paraId="4393E2B8" w14:textId="60F143EE" w:rsidR="00B95016" w:rsidRPr="00B95016" w:rsidRDefault="00FB36F3" w:rsidP="00B950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Қамқоршылық</w:t>
      </w:r>
      <w:proofErr w:type="spellEnd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кеңесі</w:t>
      </w:r>
      <w:proofErr w:type="spellEnd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="00E50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5016" w:rsidRPr="00B95016">
        <w:rPr>
          <w:rFonts w:ascii="Times New Roman" w:hAnsi="Times New Roman" w:cs="Times New Roman"/>
          <w:b/>
          <w:bCs/>
          <w:sz w:val="28"/>
          <w:szCs w:val="28"/>
        </w:rPr>
        <w:t>Ереже</w:t>
      </w:r>
      <w:proofErr w:type="spellEnd"/>
      <w:proofErr w:type="gramEnd"/>
    </w:p>
    <w:p w14:paraId="1B6D7B39" w14:textId="77777777" w:rsidR="00B95016" w:rsidRPr="00FB36F3" w:rsidRDefault="00B95016" w:rsidP="00B950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14:paraId="073C280E" w14:textId="43D014AC" w:rsidR="00FB36F3" w:rsidRPr="00FB36F3" w:rsidRDefault="00910B6C" w:rsidP="00FB36F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016" w:rsidRPr="00FB36F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44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бабының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тармағына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>, ҚР БҒМ 27.07.2017 ж. № 355 «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әзірленді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>.</w:t>
      </w:r>
      <w:r w:rsidR="00B95016" w:rsidRPr="00FB36F3">
        <w:rPr>
          <w:rFonts w:ascii="Times New Roman" w:hAnsi="Times New Roman" w:cs="Times New Roman"/>
          <w:sz w:val="28"/>
          <w:szCs w:val="28"/>
        </w:rPr>
        <w:br/>
        <w:t>1.2. «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Арт терапия басым бағыттағы </w:t>
      </w:r>
      <w:r w:rsidR="00B95016" w:rsidRPr="00FB36F3">
        <w:rPr>
          <w:rFonts w:ascii="Times New Roman" w:hAnsi="Times New Roman" w:cs="Times New Roman"/>
          <w:sz w:val="28"/>
          <w:szCs w:val="28"/>
        </w:rPr>
        <w:t xml:space="preserve">№ 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>45 «Самұрық</w:t>
      </w:r>
      <w:r w:rsidR="00B95016" w:rsidRPr="00FB36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95016" w:rsidRPr="00FB36F3">
        <w:rPr>
          <w:rFonts w:ascii="Times New Roman" w:hAnsi="Times New Roman" w:cs="Times New Roman"/>
          <w:sz w:val="28"/>
          <w:szCs w:val="28"/>
        </w:rPr>
        <w:t>балабақшасы</w:t>
      </w:r>
      <w:proofErr w:type="spellEnd"/>
      <w:r w:rsidR="00B95016" w:rsidRPr="00FB36F3">
        <w:rPr>
          <w:rFonts w:ascii="Times New Roman" w:hAnsi="Times New Roman" w:cs="Times New Roman"/>
          <w:sz w:val="28"/>
          <w:szCs w:val="28"/>
        </w:rPr>
        <w:t xml:space="preserve">» МКҚК </w:t>
      </w:r>
    </w:p>
    <w:p w14:paraId="521CED08" w14:textId="7FC37105" w:rsidR="00B95016" w:rsidRPr="00FB36F3" w:rsidRDefault="00B95016" w:rsidP="00910B6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ұйымдарды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– МДҰ) 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алқалық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1.3.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B36F3">
        <w:rPr>
          <w:rFonts w:ascii="Times New Roman" w:hAnsi="Times New Roman" w:cs="Times New Roman"/>
          <w:sz w:val="28"/>
          <w:szCs w:val="28"/>
        </w:rPr>
        <w:t xml:space="preserve">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Жарғысының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36F3">
        <w:rPr>
          <w:rFonts w:ascii="Times New Roman" w:hAnsi="Times New Roman" w:cs="Times New Roman"/>
          <w:sz w:val="28"/>
          <w:szCs w:val="28"/>
        </w:rPr>
        <w:t>осы</w:t>
      </w:r>
      <w:r w:rsidR="00FB36F3" w:rsidRPr="00FB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Ереженің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мәртебесінсіз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1.4.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жұмсалуына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Жарғыға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>* МДҰ-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қаражатын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жұмсау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бюджетін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анықтаған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кемшіліктерді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ЖАО-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енгізеді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МДҰ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тәрбиеленушілерге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жағдайлармен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психологтың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1.5.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өкілеттіктерін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өтеусіз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Құрамы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2.1.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: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әріптестердің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);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тәрбиеленушілерінің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жасаушылар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).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құрылатын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отырыстарына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2.3.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-да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3) ҚР «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6F3">
        <w:rPr>
          <w:rFonts w:ascii="Times New Roman" w:hAnsi="Times New Roman" w:cs="Times New Roman"/>
          <w:sz w:val="28"/>
          <w:szCs w:val="28"/>
        </w:rPr>
        <w:t>туралы»Заңының</w:t>
      </w:r>
      <w:proofErr w:type="spellEnd"/>
      <w:proofErr w:type="gramEnd"/>
      <w:r w:rsidRPr="00FB36F3">
        <w:rPr>
          <w:rFonts w:ascii="Times New Roman" w:hAnsi="Times New Roman" w:cs="Times New Roman"/>
          <w:sz w:val="28"/>
          <w:szCs w:val="28"/>
        </w:rPr>
        <w:t xml:space="preserve"> 51-бабы 1-тармағы.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2.4.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меңгерушімен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туыстық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жекжаттық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қатынастарда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тоғыз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2.5.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штатына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мүшелердің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3. Сайлау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3.1.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дауыспен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сайланатын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сайланатын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3.2.Мемлекеттік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өкілдерін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сайламайды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атқармайды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3.3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3.4.Төрағаның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хатшысын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сайлайды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3.5.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тағайындалады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табылмайды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отырыстарының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хаттамаларын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ресімдеуді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Өкілеттіктер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4.1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тәрбиеленушілерінің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жұмсалуына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4.2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Жарғысына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4.3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lastRenderedPageBreak/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4.4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жетім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қамқорлығынсыз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отбасына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4.5 </w:t>
      </w:r>
      <w:r w:rsidR="00FB3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қаражатын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жұмсау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4.6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бюджетін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4.7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анықтаған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жұмысындағы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кемшіліктерді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енгізеді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4.8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4.9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тәрбиеленушілеріне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жағдайлармен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психологының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;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Жұмысты</w:t>
      </w:r>
      <w:proofErr w:type="spellEnd"/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5.1.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үштен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екісінің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хабарламаға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материалдармен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кешіктірілмейтін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хатшысына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қатысқаны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қатыспағаны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>5.4.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  <w:r w:rsidRPr="00FB36F3">
        <w:rPr>
          <w:rFonts w:ascii="Times New Roman" w:hAnsi="Times New Roman" w:cs="Times New Roman"/>
          <w:sz w:val="28"/>
          <w:szCs w:val="28"/>
        </w:rPr>
        <w:br/>
        <w:t>5.5. Заседания Попечительского совета проводятся по мере необходимости, но не реже одного раза в квартал.</w:t>
      </w:r>
      <w:r w:rsidRPr="00FB36F3">
        <w:rPr>
          <w:rFonts w:ascii="Times New Roman" w:hAnsi="Times New Roman" w:cs="Times New Roman"/>
          <w:sz w:val="28"/>
          <w:szCs w:val="28"/>
        </w:rPr>
        <w:br/>
        <w:t>5.6 Каждый член Попечительского совета организации образования имеет при голосовании один голос без права его передачи.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5.7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мүшелердің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lastRenderedPageBreak/>
        <w:t>дауысымен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Дауыстар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</w:r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Іс</w:t>
      </w:r>
      <w:proofErr w:type="spellEnd"/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қағаздарын</w:t>
      </w:r>
      <w:proofErr w:type="spellEnd"/>
      <w:r w:rsidRPr="00FB3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хаттамаға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ресімдейді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отырысқа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өткізілгеннен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кешіктірілмейтін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>.</w:t>
      </w:r>
      <w:r w:rsidRPr="00FB36F3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төрағасында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B36F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B36F3">
        <w:rPr>
          <w:rFonts w:ascii="Times New Roman" w:hAnsi="Times New Roman" w:cs="Times New Roman"/>
          <w:sz w:val="28"/>
          <w:szCs w:val="28"/>
        </w:rPr>
        <w:t xml:space="preserve"> сақталады.</w:t>
      </w:r>
    </w:p>
    <w:p w14:paraId="5EBF9A1B" w14:textId="77777777" w:rsidR="003912AD" w:rsidRPr="00FB36F3" w:rsidRDefault="003912A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8A51CB" w14:textId="77777777" w:rsidR="00B95016" w:rsidRPr="00FB36F3" w:rsidRDefault="00B950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C4C78C" w14:textId="77777777" w:rsidR="00B95016" w:rsidRPr="00FB36F3" w:rsidRDefault="00B950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374F98" w14:textId="77777777" w:rsidR="00B95016" w:rsidRPr="00E504A9" w:rsidRDefault="00B95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7BCE15" w14:textId="77777777" w:rsidR="00B95016" w:rsidRPr="00E504A9" w:rsidRDefault="00B95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7820C2" w14:textId="77777777" w:rsidR="00B95016" w:rsidRDefault="00B95016">
      <w:pPr>
        <w:rPr>
          <w:lang w:val="kk-KZ"/>
        </w:rPr>
      </w:pPr>
    </w:p>
    <w:p w14:paraId="144F59F4" w14:textId="77777777" w:rsidR="00B95016" w:rsidRDefault="00B95016">
      <w:pPr>
        <w:rPr>
          <w:lang w:val="kk-KZ"/>
        </w:rPr>
      </w:pPr>
    </w:p>
    <w:p w14:paraId="38AF557A" w14:textId="77777777" w:rsidR="00B95016" w:rsidRDefault="00B95016">
      <w:pPr>
        <w:rPr>
          <w:lang w:val="kk-KZ"/>
        </w:rPr>
      </w:pPr>
    </w:p>
    <w:p w14:paraId="7401203E" w14:textId="77777777" w:rsidR="00B95016" w:rsidRDefault="00B95016">
      <w:pPr>
        <w:rPr>
          <w:lang w:val="kk-KZ"/>
        </w:rPr>
      </w:pPr>
    </w:p>
    <w:p w14:paraId="0A4F984A" w14:textId="77777777" w:rsidR="00B95016" w:rsidRDefault="00B95016">
      <w:pPr>
        <w:rPr>
          <w:lang w:val="kk-KZ"/>
        </w:rPr>
      </w:pPr>
    </w:p>
    <w:p w14:paraId="3F76E953" w14:textId="77777777" w:rsidR="00B95016" w:rsidRDefault="00B95016">
      <w:pPr>
        <w:rPr>
          <w:lang w:val="kk-KZ"/>
        </w:rPr>
      </w:pPr>
    </w:p>
    <w:p w14:paraId="2AD3A9DA" w14:textId="77777777" w:rsidR="00B95016" w:rsidRPr="00B95016" w:rsidRDefault="00B95016">
      <w:pPr>
        <w:rPr>
          <w:lang w:val="kk-KZ"/>
        </w:rPr>
      </w:pPr>
    </w:p>
    <w:sectPr w:rsidR="00B95016" w:rsidRPr="00B95016" w:rsidSect="00FB36F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C3E7C"/>
    <w:multiLevelType w:val="multilevel"/>
    <w:tmpl w:val="C0CC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5400D"/>
    <w:multiLevelType w:val="multilevel"/>
    <w:tmpl w:val="F3082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39831104">
    <w:abstractNumId w:val="0"/>
  </w:num>
  <w:num w:numId="2" w16cid:durableId="142922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5"/>
    <w:rsid w:val="000464FF"/>
    <w:rsid w:val="00050253"/>
    <w:rsid w:val="003912AD"/>
    <w:rsid w:val="007E4B7A"/>
    <w:rsid w:val="00863245"/>
    <w:rsid w:val="00910B6C"/>
    <w:rsid w:val="00B95016"/>
    <w:rsid w:val="00E504A9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CEDA"/>
  <w15:chartTrackingRefBased/>
  <w15:docId w15:val="{603321A1-42AD-457E-B3DC-2D765808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2024-08-05T10:37:00Z</dcterms:created>
  <dcterms:modified xsi:type="dcterms:W3CDTF">2024-08-06T06:54:00Z</dcterms:modified>
</cp:coreProperties>
</file>